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FirstClick</w:t>
      </w:r>
      <w:r>
        <w:t xml:space="preserve"> </w:t>
      </w:r>
      <w:r>
        <w:t xml:space="preserve">Digital</w:t>
      </w:r>
      <w:r>
        <w:t xml:space="preserve"> </w:t>
      </w:r>
      <w:r>
        <w:t xml:space="preserve">Skills:</w:t>
      </w:r>
      <w:r>
        <w:t xml:space="preserve"> </w:t>
      </w:r>
      <w:r>
        <w:t xml:space="preserve">Data</w:t>
      </w:r>
      <w:r>
        <w:t xml:space="preserve"> </w:t>
      </w:r>
      <w:r>
        <w:t xml:space="preserve">Protection</w:t>
      </w:r>
      <w:r>
        <w:t xml:space="preserve"> </w:t>
      </w:r>
      <w:r>
        <w:t xml:space="preserve">Policy</w:t>
      </w:r>
    </w:p>
    <w:p>
      <w:pPr>
        <w:pStyle w:val="Subtitle"/>
      </w:pPr>
      <w:r>
        <w:t>Liguanea Advisory Group Limited · Version 1.17 · 4 October 2026</w:t>
      </w:r>
    </w:p>
    <w:p>
      <w:pPr>
        <w:pStyle w:val="FirstParagraph"/>
      </w:pPr>
      <w:r>
        <w:rPr>
          <w:bCs/>
          <w:b/>
        </w:rPr>
        <w:t>This policy sets out how FirstClick handles personal information under Jamaica's Data Protection Act, 2020. The privacy notice on the website is kept consistent with it.</w:t>
      </w:r>
    </w:p>
    <w:bookmarkStart w:id="20" w:name="who-we-are"/>
    <w:p>
      <w:pPr>
        <w:pStyle w:val="Heading1"/>
      </w:pPr>
      <w:r>
        <w:t xml:space="preserve">1. Who we are</w:t>
      </w:r>
    </w:p>
    <w:p>
      <w:pPr>
        <w:pStyle w:val="FirstParagraph"/>
      </w:pPr>
      <w:r>
        <w:t xml:space="preserve">FirstClick Digital Skills is a business name of Liguanea Advisory Group Limited, 8 Lakehurst Drive, Kingston 8, Jamaica. The company is the data controller for the personal information described here. Contact: learn@liguaneaadvisory.com.</w:t>
      </w:r>
    </w:p>
    <w:p>
      <w:pPr>
        <w:pStyle w:val="FirstParagraph"/>
      </w:pPr>
      <w:r>
        <w:rPr>
          <w:b/>
        </w:rPr>
        <w:t xml:space="preserve">Our mission. </w:t>
      </w:r>
      <w:r>
        <w:rPr>
          <w:b w:val="0"/>
        </w:rPr>
        <w:t>To give people across Jamaica and the Caribbean the everyday phone, computer and online-safety skills they need, taught in plain English, at their own pace and at a price that leaves no one behind, so they can use technology with confidence.</w:t>
      </w:r>
    </w:p>
    <w:p>
      <w:pPr>
        <w:pStyle w:val="FirstParagraph"/>
      </w:pPr>
      <w:r>
        <w:rPr>
          <w:b/>
        </w:rPr>
        <w:t xml:space="preserve">Our vision. </w:t>
      </w:r>
      <w:r>
        <w:rPr>
          <w:b w:val="0"/>
        </w:rPr>
        <w:t>A Caribbean where everyone, whatever their age, income or experience, can use technology safely, and no one is held back, shut out or scammed because of it.</w:t>
      </w:r>
    </w:p>
    <w:bookmarkEnd w:id="20"/>
    <w:bookmarkStart w:id="21" w:name="what-we-collect-and-why"/>
    <w:p>
      <w:pPr>
        <w:pStyle w:val="Heading1"/>
      </w:pPr>
      <w:r>
        <w:t xml:space="preserve">2. What we collect, and why</w:t>
      </w:r>
    </w:p>
    <w:tbl>
      <w:tblPr>
        <w:tblStyle w:val="Table"/>
        <w:tblW w:type="pct" w:w="500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Information</w:t>
            </w:r>
          </w:p>
        </w:tc>
        <w:tc>
          <w:tcPr/>
          <w:p>
            <w:pPr>
              <w:pStyle w:val="Compact"/>
              <w:jc w:val="left"/>
            </w:pPr>
            <w:r>
              <w:t xml:space="preserve">Why we need it</w:t>
            </w:r>
          </w:p>
        </w:tc>
        <w:tc>
          <w:tcPr/>
          <w:p>
            <w:pPr>
              <w:pStyle w:val="Compact"/>
              <w:jc w:val="left"/>
            </w:pPr>
            <w:r>
              <w:t xml:space="preserve">Basis</w:t>
            </w:r>
          </w:p>
        </w:tc>
      </w:tr>
      <w:tr>
        <w:tc>
          <w:tcPr/>
          <w:p>
            <w:pPr>
              <w:pStyle w:val="Compact"/>
              <w:jc w:val="left"/>
            </w:pPr>
            <w:r>
              <w:t xml:space="preserve">Full name</w:t>
            </w:r>
          </w:p>
        </w:tc>
        <w:tc>
          <w:tcPr/>
          <w:p>
            <w:pPr>
              <w:pStyle w:val="Compact"/>
              <w:jc w:val="left"/>
            </w:pPr>
            <w:r>
              <w:t xml:space="preserve">Account and the name on the certificate</w:t>
            </w:r>
          </w:p>
        </w:tc>
        <w:tc>
          <w:tcPr/>
          <w:p>
            <w:pPr>
              <w:pStyle w:val="Compact"/>
              <w:jc w:val="left"/>
            </w:pPr>
            <w:r>
              <w:t xml:space="preserve">Needed to provide the course</w:t>
            </w:r>
          </w:p>
        </w:tc>
      </w:tr>
      <w:tr>
        <w:tc>
          <w:tcPr/>
          <w:p>
            <w:pPr>
              <w:pStyle w:val="Compact"/>
              <w:jc w:val="left"/>
            </w:pPr>
            <w:r>
              <w:t xml:space="preserve">Username, email address</w:t>
            </w:r>
          </w:p>
        </w:tc>
        <w:tc>
          <w:tcPr/>
          <w:p>
            <w:pPr>
              <w:pStyle w:val="Compact"/>
              <w:jc w:val="left"/>
            </w:pPr>
            <w:r>
              <w:t xml:space="preserve">Signing in, codes, receipts, replies</w:t>
            </w:r>
          </w:p>
        </w:tc>
        <w:tc>
          <w:tcPr/>
          <w:p>
            <w:pPr>
              <w:pStyle w:val="Compact"/>
              <w:jc w:val="left"/>
            </w:pPr>
            <w:r>
              <w:t xml:space="preserve">Needed to provide the course</w:t>
            </w:r>
          </w:p>
        </w:tc>
      </w:tr>
      <w:tr>
        <w:tc>
          <w:tcPr/>
          <w:p>
            <w:pPr>
              <w:pStyle w:val="Compact"/>
              <w:jc w:val="left"/>
            </w:pPr>
            <w:r>
              <w:t xml:space="preserve">Mobile number</w:t>
            </w:r>
          </w:p>
        </w:tc>
        <w:tc>
          <w:tcPr/>
          <w:p>
            <w:pPr>
              <w:pStyle w:val="Compact"/>
              <w:jc w:val="left"/>
            </w:pPr>
            <w:r>
              <w:t xml:space="preserve">Support contact; sign-in codes if text messages are added</w:t>
            </w:r>
          </w:p>
        </w:tc>
        <w:tc>
          <w:tcPr/>
          <w:p>
            <w:pPr>
              <w:pStyle w:val="Compact"/>
              <w:jc w:val="left"/>
            </w:pPr>
            <w:r>
              <w:t xml:space="preserve">Needed to provide the course</w:t>
            </w:r>
          </w:p>
        </w:tc>
      </w:tr>
      <w:tr>
        <w:tc>
          <w:tcPr/>
          <w:p>
            <w:pPr>
              <w:pStyle w:val="Compact"/>
              <w:jc w:val="left"/>
            </w:pPr>
            <w:r>
              <w:t xml:space="preserve">Taxpayer Registration Number, national identification or driver’s license number</w:t>
            </w:r>
          </w:p>
        </w:tc>
        <w:tc>
          <w:tcPr/>
          <w:p>
            <w:pPr>
              <w:pStyle w:val="Compact"/>
              <w:jc w:val="left"/>
            </w:pPr>
            <w:r>
              <w:t xml:space="preserve">To stop one person holding more than one account. Stored scrambled; never shown back</w:t>
            </w:r>
          </w:p>
        </w:tc>
        <w:tc>
          <w:tcPr/>
          <w:p>
            <w:pPr>
              <w:pStyle w:val="Compact"/>
              <w:jc w:val="left"/>
            </w:pPr>
            <w:r>
              <w:t xml:space="preserve">Legitimate interest in fair access</w:t>
            </w:r>
          </w:p>
        </w:tc>
      </w:tr>
      <w:tr>
        <w:tc>
          <w:tcPr/>
          <w:p>
            <w:pPr>
              <w:pStyle w:val="Compact"/>
              <w:jc w:val="left"/>
            </w:pPr>
            <w:r>
              <w:t>Password (optional for learners from 27 September 2026), authenticator secret, 6-digit PIN</w:t>
            </w:r>
          </w:p>
        </w:tc>
        <w:tc>
          <w:tcPr/>
          <w:p>
            <w:pPr>
              <w:pStyle w:val="Compact"/>
              <w:jc w:val="left"/>
            </w:pPr>
            <w:r>
              <w:t xml:space="preserve">Protecting the account. Stored as one-way hashes or encrypted</w:t>
            </w:r>
          </w:p>
        </w:tc>
        <w:tc>
          <w:tcPr/>
          <w:p>
            <w:pPr>
              <w:pStyle w:val="Compact"/>
              <w:jc w:val="left"/>
            </w:pPr>
            <w:r>
              <w:t xml:space="preserve">Security</w:t>
            </w:r>
          </w:p>
        </w:tc>
      </w:tr>
      <w:tr>
        <w:tc>
          <w:tcPr/>
          <w:p>
            <w:pPr>
              <w:pStyle w:val="Compact"/>
              <w:jc w:val="left"/>
            </w:pPr>
            <w:r>
              <w:t xml:space="preserve">Lesson progress and quiz results</w:t>
            </w:r>
          </w:p>
        </w:tc>
        <w:tc>
          <w:tcPr/>
          <w:p>
            <w:pPr>
              <w:pStyle w:val="Compact"/>
              <w:jc w:val="left"/>
            </w:pPr>
            <w:r>
              <w:t xml:space="preserve">Showing progress and issuing certificates</w:t>
            </w:r>
          </w:p>
        </w:tc>
        <w:tc>
          <w:tcPr/>
          <w:p>
            <w:pPr>
              <w:pStyle w:val="Compact"/>
              <w:jc w:val="left"/>
            </w:pPr>
            <w:r>
              <w:t xml:space="preserve">Needed to provide the course</w:t>
            </w:r>
          </w:p>
        </w:tc>
      </w:tr>
      <w:tr>
        <w:tc>
          <w:tcPr/>
          <w:p>
            <w:pPr>
              <w:pStyle w:val="Compact"/>
              <w:jc w:val="left"/>
            </w:pPr>
            <w:r>
              <w:t xml:space="preserve">Remembered device: a scrambled token and the browser name, only if the learner ticks Remember this device</w:t>
            </w:r>
          </w:p>
        </w:tc>
        <w:tc>
          <w:tcPr/>
          <w:p>
            <w:pPr>
              <w:pStyle w:val="Compact"/>
              <w:jc w:val="left"/>
            </w:pPr>
            <w:r>
              <w:t xml:space="preserve">Skipping the sign-in code on the learner’s own device for 30 days</w:t>
            </w:r>
          </w:p>
        </w:tc>
        <w:tc>
          <w:tcPr/>
          <w:p>
            <w:pPr>
              <w:pStyle w:val="Compact"/>
              <w:jc w:val="left"/>
            </w:pPr>
            <w:r>
              <w:t xml:space="preserve">The learner’s choice; removed after 30 days or when the password changes</w:t>
            </w:r>
          </w:p>
        </w:tc>
      </w:tr>
      <w:tr>
        <w:tc>
          <w:tcPr/>
          <w:p>
            <w:pPr>
              <w:pStyle w:val="Compact"/>
              <w:jc w:val="left"/>
            </w:pPr>
            <w:r>
              <w:t xml:space="preserve">Notifications: short reminders and lesson-ready messages shown under the bell</w:t>
            </w:r>
          </w:p>
        </w:tc>
        <w:tc>
          <w:tcPr/>
          <w:p>
            <w:pPr>
              <w:pStyle w:val="Compact"/>
              <w:jc w:val="left"/>
            </w:pPr>
            <w:r>
              <w:t xml:space="preserve">Keeping learners on track, and telling them when a lesson they asked for is ready</w:t>
            </w:r>
          </w:p>
        </w:tc>
        <w:tc>
          <w:tcPr/>
          <w:p>
            <w:pPr>
              <w:pStyle w:val="Compact"/>
              <w:jc w:val="left"/>
            </w:pPr>
            <w:r>
              <w:t xml:space="preserve">Needed to provide the course; kept 90 days</w:t>
            </w:r>
          </w:p>
        </w:tc>
      </w:tr>
      <w:tr>
        <w:tc>
          <w:tcPr/>
          <w:p>
            <w:pPr>
              <w:pStyle w:val="Compact"/>
              <w:jc w:val="left"/>
            </w:pPr>
            <w:r>
              <w:t xml:space="preserve">Certificate record: name on the certificate, course, date, certificate number, issue reference, whether checking is on, and each check made</w:t>
            </w:r>
          </w:p>
        </w:tc>
        <w:tc>
          <w:tcPr/>
          <w:p>
            <w:pPr>
              <w:pStyle w:val="Compact"/>
              <w:jc w:val="left"/>
            </w:pPr>
            <w:r>
              <w:t xml:space="preserve">Issuing certificates and letting the people a learner chooses confirm them</w:t>
            </w:r>
          </w:p>
        </w:tc>
        <w:tc>
          <w:tcPr/>
          <w:p>
            <w:pPr>
              <w:pStyle w:val="Compact"/>
              <w:jc w:val="left"/>
            </w:pPr>
            <w:r>
              <w:t xml:space="preserve">Needed to provide the course; the learner controls checking</w:t>
            </w:r>
          </w:p>
        </w:tc>
      </w:tr>
      <w:tr>
        <w:tc>
          <w:tcPr/>
          <w:p>
            <w:pPr>
              <w:pStyle w:val="Compact"/>
              <w:jc w:val="left"/>
            </w:pPr>
            <w:r>
              <w:t xml:space="preserve">Payment records</w:t>
            </w:r>
          </w:p>
        </w:tc>
        <w:tc>
          <w:tcPr/>
          <w:p>
            <w:pPr>
              <w:pStyle w:val="Compact"/>
              <w:jc w:val="left"/>
            </w:pPr>
            <w:r>
              <w:t xml:space="preserve">Receipts, refunds and accounting</w:t>
            </w:r>
          </w:p>
        </w:tc>
        <w:tc>
          <w:tcPr/>
          <w:p>
            <w:pPr>
              <w:pStyle w:val="Compact"/>
              <w:jc w:val="left"/>
            </w:pPr>
            <w:r>
              <w:t xml:space="preserve">Needed to provide the course; legal obligations</w:t>
            </w:r>
          </w:p>
        </w:tc>
      </w:tr>
      <w:tr>
        <w:tc>
          <w:tcPr/>
          <w:p>
            <w:pPr>
              <w:pStyle w:val="Compact"/>
              <w:jc w:val="left"/>
            </w:pPr>
            <w:r>
              <w:t xml:space="preserve">Identity check photos: a photo of the person holding their ID, and the ID</w:t>
            </w:r>
          </w:p>
        </w:tc>
        <w:tc>
          <w:tcPr/>
          <w:p>
            <w:pPr>
              <w:pStyle w:val="Compact"/>
              <w:jc w:val="left"/>
            </w:pPr>
            <w:r>
              <w:t xml:space="preserve">Confirming identity before staff change someone’s contact details, alongside a video call</w:t>
            </w:r>
          </w:p>
        </w:tc>
        <w:tc>
          <w:tcPr/>
          <w:p>
            <w:pPr>
              <w:pStyle w:val="Compact"/>
              <w:jc w:val="left"/>
            </w:pPr>
            <w:r>
              <w:t xml:space="preserve">Legitimate interest in preventing fraud; deleted after the decision, at the latest at 2:00 am the next night</w:t>
            </w:r>
          </w:p>
        </w:tc>
      </w:tr>
      <w:tr>
        <w:tc>
          <w:tcPr/>
          <w:p>
            <w:pPr>
              <w:pStyle w:val="Compact"/>
              <w:jc w:val="left"/>
            </w:pPr>
            <w:r>
              <w:t xml:space="preserve">Profile picture (optional)</w:t>
            </w:r>
          </w:p>
        </w:tc>
        <w:tc>
          <w:tcPr/>
          <w:p>
            <w:pPr>
              <w:pStyle w:val="Compact"/>
              <w:jc w:val="left"/>
            </w:pPr>
            <w:r>
              <w:t xml:space="preserve">Shown to the learner and to staff only</w:t>
            </w:r>
          </w:p>
        </w:tc>
        <w:tc>
          <w:tcPr/>
          <w:p>
            <w:pPr>
              <w:pStyle w:val="Compact"/>
              <w:jc w:val="left"/>
            </w:pPr>
            <w:r>
              <w:t xml:space="preserve">Consent</w:t>
            </w:r>
          </w:p>
        </w:tc>
      </w:tr>
      <w:tr>
        <w:tc>
          <w:tcPr/>
          <w:p>
            <w:pPr>
              <w:pStyle w:val="Compact"/>
              <w:jc w:val="left"/>
            </w:pPr>
            <w:r>
              <w:t xml:space="preserve">Lesson ideas and messages sent through the site</w:t>
            </w:r>
          </w:p>
        </w:tc>
        <w:tc>
          <w:tcPr/>
          <w:p>
            <w:pPr>
              <w:pStyle w:val="Compact"/>
              <w:jc w:val="left"/>
            </w:pPr>
            <w:r>
              <w:t xml:space="preserve">Answering and improving the course</w:t>
            </w:r>
          </w:p>
        </w:tc>
        <w:tc>
          <w:tcPr/>
          <w:p>
            <w:pPr>
              <w:pStyle w:val="Compact"/>
              <w:jc w:val="left"/>
            </w:pPr>
            <w:r>
              <w:t xml:space="preserve">Consent</w:t>
            </w:r>
          </w:p>
        </w:tc>
      </w:tr>
      <w:tr>
        <w:tc>
          <w:tcPr/>
          <w:p>
            <w:pPr>
              <w:pStyle w:val="Compact"/>
              <w:jc w:val="left"/>
            </w:pPr>
            <w:r>
              <w:t xml:space="preserve">Connection address, device and time of key events</w:t>
            </w:r>
          </w:p>
        </w:tc>
        <w:tc>
          <w:tcPr/>
          <w:p>
            <w:pPr>
              <w:pStyle w:val="Compact"/>
              <w:jc w:val="left"/>
            </w:pPr>
            <w:r>
              <w:t xml:space="preserve">Security, fraud prevention and the audit record</w:t>
            </w:r>
          </w:p>
        </w:tc>
        <w:tc>
          <w:tcPr/>
          <w:p>
            <w:pPr>
              <w:pStyle w:val="Compact"/>
              <w:jc w:val="left"/>
            </w:pPr>
            <w:r>
              <w:t xml:space="preserve">Legitimate interest in security</w:t>
            </w:r>
          </w:p>
        </w:tc>
      </w:tr>
      <w:tr>
        <w:tc>
          <w:tcPr/>
          <w:p>
            <w:pPr>
              <w:pStyle w:val="Compact"/>
              <w:jc w:val="left"/>
            </w:pPr>
            <w:r>
              <w:t>Name, username, contact messages and lesson ideas, checked for respectful use</w:t>
            </w:r>
          </w:p>
        </w:tc>
        <w:tc>
          <w:tcPr/>
          <w:p>
            <w:pPr>
              <w:pStyle w:val="Compact"/>
              <w:jc w:val="left"/>
            </w:pPr>
            <w:r>
              <w:t>To keep the service safe from abuse, threats and scams; checked on our own server, and every decision is made by a person</w:t>
            </w:r>
          </w:p>
        </w:tc>
        <w:tc>
          <w:tcPr/>
          <w:p>
            <w:pPr>
              <w:pStyle w:val="Compact"/>
              <w:jc w:val="left"/>
            </w:pPr>
            <w:r>
              <w:t>Legitimate interest in a safe service; terms of use</w:t>
            </w:r>
          </w:p>
        </w:tc>
      </w:tr>
      <w:tr>
        <w:tc>
          <w:tcPr/>
          <w:p>
            <w:pPr>
              <w:pStyle w:val="Compact"/>
              <w:jc w:val="left"/>
            </w:pPr>
            <w:r>
              <w:t>Approved devices: a scrambled device token, a plain device name (for example iPhone · Safari), when it was approved and last used; the 6-digit PIN stored only in scrambled form</w:t>
            </w:r>
          </w:p>
        </w:tc>
        <w:tc>
          <w:tcPr/>
          <w:p>
            <w:pPr>
              <w:pStyle w:val="Compact"/>
              <w:jc w:val="left"/>
            </w:pPr>
            <w:r>
              <w:t>So a learner can sign in with their PIN on their own phone or computer, see and remove their devices, and be alerted to new ones</w:t>
            </w:r>
          </w:p>
        </w:tc>
        <w:tc>
          <w:tcPr/>
          <w:p>
            <w:pPr>
              <w:pStyle w:val="Compact"/>
              <w:jc w:val="left"/>
            </w:pPr>
            <w:r>
              <w:t>Contract (providing the course) and legitimate interest in account security</w:t>
            </w:r>
          </w:p>
        </w:tc>
      </w:tr>
      <w:tr>
        <w:tc>
          <w:tcPr/>
          <w:p>
            <w:pPr>
              <w:pStyle w:val="Compact"/>
              <w:jc w:val="left"/>
            </w:pPr>
            <w:r>
              <w:t>Face or fingerprint keys: the public key made by the learner’s own device, with the dates it was turned on and last used. No biometric information</w:t>
            </w:r>
          </w:p>
        </w:tc>
        <w:tc>
          <w:tcPr/>
          <w:p>
            <w:pPr>
              <w:pStyle w:val="Compact"/>
              <w:jc w:val="left"/>
            </w:pPr>
            <w:r>
              <w:t>So a learner can sign in on an approved device with the device’s own face or fingerprint check</w:t>
            </w:r>
          </w:p>
        </w:tc>
        <w:tc>
          <w:tcPr/>
          <w:p>
            <w:pPr>
              <w:pStyle w:val="Compact"/>
              <w:jc w:val="left"/>
            </w:pPr>
            <w:r>
              <w:t>Contract (providing the course), at the learner’s choice</w:t>
            </w:r>
          </w:p>
        </w:tc>
      </w:tr>
      <w:tr>
        <w:tc>
          <w:tcPr/>
          <w:p>
            <w:pPr>
              <w:pStyle w:val="Compact"/>
              <w:jc w:val="left"/>
            </w:pPr>
            <w:r>
              <w:t>Email choices: whether the learner wants "Did you know" tips and new short course emails, when they chose, and a random unsubscribe code; which of these emails were sent to them</w:t>
            </w:r>
          </w:p>
        </w:tc>
        <w:tc>
          <w:tcPr/>
          <w:p>
            <w:pPr>
              <w:pStyle w:val="Compact"/>
              <w:jc w:val="left"/>
            </w:pPr>
            <w:r>
              <w:t>To send those emails only to people who asked, and to stop them at once when asked</w:t>
            </w:r>
          </w:p>
        </w:tc>
        <w:tc>
          <w:tcPr/>
          <w:p>
            <w:pPr>
              <w:pStyle w:val="Compact"/>
              <w:jc w:val="left"/>
            </w:pPr>
            <w:r>
              <w:t>Consent (both boxes start unticked; withdrawn any time by the Unsubscribe link or My profile)</w:t>
            </w:r>
          </w:p>
        </w:tc>
      </w:tr>
      <w:tr>
        <w:tc>
          <w:tcPr/>
          <w:p>
            <w:pPr>
              <w:pStyle w:val="Compact"/>
              <w:jc w:val="left"/>
            </w:pPr>
            <w:r>
              <w:t>Computer offers from companies: company, contact name, email, phone, parish and details of the computers</w:t>
            </w:r>
          </w:p>
        </w:tc>
        <w:tc>
          <w:tcPr/>
          <w:p>
            <w:pPr>
              <w:pStyle w:val="Compact"/>
              <w:jc w:val="left"/>
            </w:pPr>
            <w:r>
              <w:t>To contact the company and arrange collection of computers for schools</w:t>
            </w:r>
          </w:p>
        </w:tc>
        <w:tc>
          <w:tcPr/>
          <w:p>
            <w:pPr>
              <w:pStyle w:val="Compact"/>
              <w:jc w:val="left"/>
            </w:pPr>
            <w:r>
              <w:t>Legitimate interest, with the person’s agreement ticked on the form</w:t>
            </w:r>
          </w:p>
        </w:tc>
      </w:tr>
      <w:tr>
        <w:tc>
          <w:tcPr/>
          <w:p>
            <w:pPr>
              <w:pStyle w:val="Compact"/>
              <w:jc w:val="left"/>
            </w:pPr>
            <w:r>
              <w:t>Test certificates: a certificate given by the owner to a test user, marked TEST</w:t>
            </w:r>
          </w:p>
        </w:tc>
        <w:tc>
          <w:tcPr/>
          <w:p>
            <w:pPr>
              <w:pStyle w:val="Compact"/>
              <w:jc w:val="left"/>
            </w:pPr>
            <w:r>
              <w:t>To check the certificate and its public check work, without any real completion</w:t>
            </w:r>
          </w:p>
        </w:tc>
        <w:tc>
          <w:tcPr/>
          <w:p>
            <w:pPr>
              <w:pStyle w:val="Compact"/>
              <w:jc w:val="left"/>
            </w:pPr>
            <w:r>
              <w:t>Legitimate interest (testing the service); the certificate and its public check say it is a test</w:t>
            </w:r>
          </w:p>
        </w:tc>
      </w:tr>
      <w:tr>
        <w:tc>
          <w:tcPr/>
          <w:p>
            <w:pPr>
              <w:pStyle w:val="Compact"/>
              <w:jc w:val="left"/>
            </w:pPr>
            <w:r>
              <w:t>AI helper use: the date, which helper, model, size and cost of each use, linked to the learner. What they typed is not stored</w:t>
            </w:r>
          </w:p>
        </w:tc>
        <w:tc>
          <w:tcPr/>
          <w:p>
            <w:pPr>
              <w:pStyle w:val="Compact"/>
              <w:jc w:val="left"/>
            </w:pPr>
            <w:r>
              <w:t>To keep the helpers within a monthly spending cap and a daily limit per learner, and to spot misuse</w:t>
            </w:r>
          </w:p>
        </w:tc>
        <w:tc>
          <w:tcPr/>
          <w:p>
            <w:pPr>
              <w:pStyle w:val="Compact"/>
              <w:jc w:val="left"/>
            </w:pPr>
            <w:r>
              <w:t>Legitimate interest in running the service within budget</w:t>
            </w:r>
          </w:p>
        </w:tc>
      </w:tr>
      <w:tr>
        <w:tc>
          <w:tcPr/>
          <w:p>
            <w:pPr>
              <w:pStyle w:val="Compact"/>
              <w:jc w:val="left"/>
            </w:pPr>
            <w:r>
              <w:t>Students under 18 (from when the Student Program opens): name, date of birth, school, grade or form, sign-in email, lesson progress and quiz results; the parent or guardian's name, relationship, contact details and the date the consent form was signed</w:t>
            </w:r>
          </w:p>
        </w:tc>
        <w:tc>
          <w:tcPr/>
          <w:p>
            <w:pPr>
              <w:pStyle w:val="Compact"/>
              <w:jc w:val="left"/>
            </w:pPr>
            <w:r>
              <w:t>To run the school program the parent agreed to, and issue certificates</w:t>
            </w:r>
          </w:p>
        </w:tc>
        <w:tc>
          <w:tcPr/>
          <w:p>
            <w:pPr>
              <w:pStyle w:val="Compact"/>
              <w:jc w:val="left"/>
            </w:pPr>
            <w:r>
              <w:t>Consent of the parent or legal guardian, on the signed Parent or Guardian Consent Form</w:t>
            </w:r>
          </w:p>
        </w:tc>
      </w:tr>
      <w:tr>
        <w:tc>
          <w:tcPr/>
          <w:p>
            <w:pPr>
              <w:pStyle w:val="Compact"/>
              <w:jc w:val="left"/>
            </w:pPr>
            <w:r>
              <w:t>Reviewed answers (from when the service opens): the adult learner's question and answer, the topic, who reviewed it and when. A question may contain health information</w:t>
            </w:r>
          </w:p>
        </w:tc>
        <w:tc>
          <w:tcPr/>
          <w:p>
            <w:pPr>
              <w:pStyle w:val="Compact"/>
              <w:jc w:val="left"/>
            </w:pPr>
            <w:r>
              <w:t>To have a qualified person answer the learner's question, and let the learner read the answer</w:t>
            </w:r>
          </w:p>
        </w:tc>
        <w:tc>
          <w:tcPr/>
          <w:p>
            <w:pPr>
              <w:pStyle w:val="Compact"/>
              <w:jc w:val="left"/>
            </w:pPr>
            <w:r>
              <w:t>The learner's explicit agreement, given by a required tick before sending</w:t>
            </w:r>
          </w:p>
        </w:tc>
      </w:tr>
      <w:tr>
        <w:tc>
          <w:tcPr/>
          <w:p>
            <w:pPr>
              <w:pStyle w:val="Compact"/>
              <w:jc w:val="left"/>
            </w:pPr>
            <w:r>
              <w:t>Settings kept only in the learner's own browser: the Light, Dark or System appearance, a note that a tab is in the learning area, and the time of the last activity. None of them identifies the learner or leaves the browser</w:t>
            </w:r>
          </w:p>
        </w:tc>
        <w:tc>
          <w:tcPr/>
          <w:p>
            <w:pPr>
              <w:pStyle w:val="Compact"/>
              <w:jc w:val="left"/>
            </w:pPr>
            <w:r>
              <w:t>To show the chosen appearance, and to sign the learner out when they leave the learning area or after 10 minutes without activity</w:t>
            </w:r>
          </w:p>
        </w:tc>
        <w:tc>
          <w:tcPr/>
          <w:p>
            <w:pPr>
              <w:pStyle w:val="Compact"/>
              <w:jc w:val="left"/>
            </w:pPr>
            <w:r>
              <w:t>Security; the learner's choice (appearance)</w:t>
            </w:r>
          </w:p>
        </w:tc>
      </w:tr>
    </w:tbl>
    <w:bookmarkEnd w:id="21"/>
    <w:bookmarkStart w:id="22" w:name="how-we-protect-it"/>
    <w:p>
      <w:pPr>
        <w:pStyle w:val="Heading1"/>
      </w:pPr>
      <w:r>
        <w:t xml:space="preserve">3. How we protect it</w:t>
      </w:r>
    </w:p>
    <w:p>
      <w:pPr>
        <w:pStyle w:val="FirstParagraph"/>
      </w:pPr>
      <w:r>
        <w:t>Learners sign in without a password: a new phone or computer needs a code emailed to them and their 6-digit PIN, and devices they approve need only the PIN, or the device’s own face or fingerprint check. Face and fingerprint checks happen on the learner’s device; FirstClick never receives or stores biometric information, only a public key. Staff always use a password and an authenticator app. Five wrong PINs on a device remove its approval; five wrong PINs after an emailed code pause PIN sign-in on new devices for an hour. Repeated wrong passwords pause sign-in for 15, 30 and 60 minutes, then lock the account until the owner resets the password. PINs and any passwords are stored as one-way hashes. Identification numbers are stored scrambled. The site runs over encrypted connections behind Cloudflare. Uploaded files are stored outside the website and served only to signed-in staff. Staff access is limited by role: owner, administrator and support, with support unable to see payments. Every sign-in, change and staff action is recorded in the audit report. The database is backed up nightly on the server, and an encrypted copy is kept in a dedicated SharePoint site for 90 days. The app that uploads it can reach that one site only.</w:t>
      </w:r>
      <w:r>
        <w:t xml:space="preserve"> For safety on shared and public computers, learners are signed out after 10 minutes without activity (with a warning and countdown after 5 minutes), and when they leave the learning area in the same browser tab; staff are signed out after 20 minutes. The scam checker removes long numbers and links from a message before it is sent to the AI provider, and never shows a working link.</w:t>
      </w:r>
    </w:p>
    <w:bookmarkEnd w:id="22"/>
    <w:bookmarkStart w:id="23" w:name="who-sees-it"/>
    <w:p>
      <w:pPr>
        <w:pStyle w:val="Heading1"/>
      </w:pPr>
      <w:r>
        <w:t xml:space="preserve">4. Who sees it</w:t>
      </w:r>
    </w:p>
    <w:p>
      <w:pPr>
        <w:pStyle w:val="FirstParagraph"/>
      </w:pPr>
      <w:r>
        <w:t>Only FirstClick staff with a need to, and the service providers listed in the Data Processor Register, each for the purpose stated there. Anyone holding a learner’s certificate number can confirm the certificate and sees only the name, course and date; nobody can search by name, and the learner can switch checking off. We do not sell, rent or share personal information for marketing. When the Student Program opens, the school's program lead receives a student's progress. Reviewed-answers questions are read by staff on the Reviewed answers tab, and only a reviewer qualified for that topic can approve an answer.</w:t>
      </w:r>
    </w:p>
    <w:bookmarkEnd w:id="23"/>
    <w:bookmarkStart w:id="24" w:name="how-long-we-keep-it"/>
    <w:p>
      <w:pPr>
        <w:pStyle w:val="Heading1"/>
      </w:pPr>
      <w:r>
        <w:t xml:space="preserve">5. How long we keep it</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Information</w:t>
            </w:r>
          </w:p>
        </w:tc>
        <w:tc>
          <w:tcPr/>
          <w:p>
            <w:pPr>
              <w:pStyle w:val="Compact"/>
              <w:jc w:val="left"/>
            </w:pPr>
            <w:r>
              <w:t xml:space="preserve">Kept for</w:t>
            </w:r>
          </w:p>
        </w:tc>
      </w:tr>
      <w:tr>
        <w:tc>
          <w:tcPr/>
          <w:p>
            <w:pPr>
              <w:pStyle w:val="Compact"/>
              <w:jc w:val="left"/>
            </w:pPr>
            <w:r>
              <w:t xml:space="preserve">Account and progress</w:t>
            </w:r>
          </w:p>
        </w:tc>
        <w:tc>
          <w:tcPr/>
          <w:p>
            <w:pPr>
              <w:pStyle w:val="Compact"/>
              <w:jc w:val="left"/>
            </w:pPr>
            <w:r>
              <w:t xml:space="preserve">While the account is open, and until closed on request</w:t>
            </w:r>
          </w:p>
        </w:tc>
      </w:tr>
      <w:tr>
        <w:tc>
          <w:tcPr/>
          <w:p>
            <w:pPr>
              <w:pStyle w:val="Compact"/>
              <w:jc w:val="left"/>
            </w:pPr>
            <w:r>
              <w:t xml:space="preserve">Certificates issued</w:t>
            </w:r>
          </w:p>
        </w:tc>
        <w:tc>
          <w:tcPr/>
          <w:p>
            <w:pPr>
              <w:pStyle w:val="Compact"/>
              <w:jc w:val="left"/>
            </w:pPr>
            <w:r>
              <w:t xml:space="preserve">Kept after an account closes, so employers can still verify them</w:t>
            </w:r>
          </w:p>
        </w:tc>
      </w:tr>
      <w:tr>
        <w:tc>
          <w:tcPr/>
          <w:p>
            <w:pPr>
              <w:pStyle w:val="Compact"/>
              <w:jc w:val="left"/>
            </w:pPr>
            <w:r>
              <w:t xml:space="preserve">Payment records</w:t>
            </w:r>
          </w:p>
        </w:tc>
        <w:tc>
          <w:tcPr/>
          <w:p>
            <w:pPr>
              <w:pStyle w:val="Compact"/>
              <w:jc w:val="left"/>
            </w:pPr>
            <w:r>
              <w:t>Seven years after the payment, as tax and accounting rules require, then deleted automatically</w:t>
            </w:r>
          </w:p>
        </w:tc>
      </w:tr>
      <w:tr>
        <w:tc>
          <w:tcPr/>
          <w:p>
            <w:pPr>
              <w:pStyle w:val="Compact"/>
              <w:jc w:val="left"/>
            </w:pPr>
            <w:r>
              <w:t xml:space="preserve">Audit records</w:t>
            </w:r>
          </w:p>
        </w:tc>
        <w:tc>
          <w:tcPr/>
          <w:p>
            <w:pPr>
              <w:pStyle w:val="Compact"/>
              <w:jc w:val="left"/>
            </w:pPr>
            <w:r>
              <w:rPr>
                <w:iCs/>
                <w:i/>
              </w:rPr>
              <w:t>Two years, then deleted automatically</w:t>
            </w:r>
          </w:p>
        </w:tc>
      </w:tr>
      <w:tr>
        <w:tc>
          <w:tcPr/>
          <w:p>
            <w:pPr>
              <w:pStyle w:val="Compact"/>
              <w:jc w:val="left"/>
            </w:pPr>
            <w:r>
              <w:t xml:space="preserve">Identity check photos</w:t>
            </w:r>
          </w:p>
        </w:tc>
        <w:tc>
          <w:tcPr/>
          <w:p>
            <w:pPr>
              <w:pStyle w:val="Compact"/>
              <w:jc w:val="left"/>
            </w:pPr>
            <w:r>
              <w:t xml:space="preserve">Until checked; at the latest 2:00 am the next night. Unreviewed uploads after 48 hours. Only a record remains: ID type, last four digits, who checked, when</w:t>
            </w:r>
          </w:p>
        </w:tc>
      </w:tr>
      <w:tr>
        <w:tc>
          <w:tcPr/>
          <w:p>
            <w:pPr>
              <w:pStyle w:val="Compact"/>
              <w:jc w:val="left"/>
            </w:pPr>
            <w:r>
              <w:t xml:space="preserve">Superseded policy documents</w:t>
            </w:r>
          </w:p>
        </w:tc>
        <w:tc>
          <w:tcPr/>
          <w:p>
            <w:pPr>
              <w:pStyle w:val="Compact"/>
              <w:jc w:val="left"/>
            </w:pPr>
            <w:r>
              <w:t xml:space="preserve">12 months after replacement</w:t>
            </w:r>
          </w:p>
        </w:tc>
      </w:tr>
      <w:tr>
        <w:tc>
          <w:tcPr/>
          <w:p>
            <w:pPr>
              <w:pStyle w:val="Compact"/>
              <w:jc w:val="left"/>
            </w:pPr>
            <w:r>
              <w:t xml:space="preserve">Backups on the server</w:t>
            </w:r>
          </w:p>
        </w:tc>
        <w:tc>
          <w:tcPr/>
          <w:p>
            <w:pPr>
              <w:pStyle w:val="Compact"/>
              <w:jc w:val="left"/>
            </w:pPr>
            <w:r>
              <w:t xml:space="preserve">Nightly copies 14 days; copies taken before an update 7 days</w:t>
            </w:r>
          </w:p>
        </w:tc>
      </w:tr>
      <w:tr>
        <w:tc>
          <w:tcPr/>
          <w:p>
            <w:pPr>
              <w:pStyle w:val="Compact"/>
              <w:jc w:val="left"/>
            </w:pPr>
            <w:r>
              <w:t xml:space="preserve">Encrypted backups in SharePoint</w:t>
            </w:r>
          </w:p>
        </w:tc>
        <w:tc>
          <w:tcPr/>
          <w:p>
            <w:pPr>
              <w:pStyle w:val="Compact"/>
              <w:jc w:val="left"/>
            </w:pPr>
            <w:r>
              <w:t xml:space="preserve">90 days. Deletion requests are re-applied after any restore</w:t>
            </w:r>
          </w:p>
        </w:tc>
      </w:tr>
      <w:tr>
        <w:tc>
          <w:tcPr/>
          <w:p>
            <w:pPr>
              <w:pStyle w:val="Compact"/>
              <w:jc w:val="left"/>
            </w:pPr>
            <w:r>
              <w:t xml:space="preserve">Lesson ideas and messages</w:t>
            </w:r>
          </w:p>
        </w:tc>
        <w:tc>
          <w:tcPr/>
          <w:p>
            <w:pPr>
              <w:pStyle w:val="Compact"/>
              <w:jc w:val="left"/>
            </w:pPr>
            <w:r>
              <w:rPr>
                <w:iCs/>
                <w:i/>
              </w:rPr>
              <w:t>Two years, then deleted automatically. Messages sent through the contact form are delivered by email and not stored on the website</w:t>
            </w:r>
          </w:p>
        </w:tc>
      </w:tr>
      <w:tr>
        <w:tc>
          <w:tcPr/>
          <w:p>
            <w:pPr>
              <w:pStyle w:val="Compact"/>
              <w:jc w:val="left"/>
            </w:pPr>
            <w:r>
              <w:t>Conduct items (what was marked, and the decision)</w:t>
            </w:r>
          </w:p>
        </w:tc>
        <w:tc>
          <w:tcPr/>
          <w:p>
            <w:pPr>
              <w:pStyle w:val="Compact"/>
              <w:jc w:val="left"/>
            </w:pPr>
            <w:r>
              <w:rPr>
                <w:iCs/>
                <w:i/>
              </w:rPr>
              <w:t>12 months after the decision, then deleted</w:t>
            </w:r>
          </w:p>
        </w:tc>
      </w:tr>
      <w:tr>
        <w:tc>
          <w:tcPr/>
          <w:p>
            <w:pPr>
              <w:pStyle w:val="Compact"/>
              <w:jc w:val="left"/>
            </w:pPr>
            <w:r>
              <w:t>Approved devices</w:t>
            </w:r>
          </w:p>
        </w:tc>
        <w:tc>
          <w:tcPr/>
          <w:p>
            <w:pPr>
              <w:pStyle w:val="Compact"/>
              <w:jc w:val="left"/>
            </w:pPr>
            <w:r>
              <w:rPr>
                <w:iCs/>
                <w:i/>
              </w:rPr>
              <w:t>Up to a year after the device was last used, or until the learner or staff remove it</w:t>
            </w:r>
          </w:p>
        </w:tc>
      </w:tr>
      <w:tr>
        <w:tc>
          <w:tcPr/>
          <w:p>
            <w:pPr>
              <w:pStyle w:val="Compact"/>
              <w:jc w:val="left"/>
            </w:pPr>
            <w:r>
              <w:t>Face or fingerprint keys</w:t>
            </w:r>
          </w:p>
        </w:tc>
        <w:tc>
          <w:tcPr/>
          <w:p>
            <w:pPr>
              <w:pStyle w:val="Compact"/>
              <w:jc w:val="left"/>
            </w:pPr>
            <w:r>
              <w:rPr>
                <w:iCs/>
                <w:i/>
              </w:rPr>
              <w:t>Until the learner turns it off or removes the device, or the device approval ends</w:t>
            </w:r>
          </w:p>
        </w:tc>
      </w:tr>
      <w:tr>
        <w:tc>
          <w:tcPr/>
          <w:p>
            <w:pPr>
              <w:pStyle w:val="Compact"/>
              <w:jc w:val="left"/>
            </w:pPr>
            <w:r>
              <w:t>Email choices and send records</w:t>
            </w:r>
          </w:p>
        </w:tc>
        <w:tc>
          <w:tcPr/>
          <w:p>
            <w:pPr>
              <w:pStyle w:val="Compact"/>
              <w:jc w:val="left"/>
            </w:pPr>
            <w:r>
              <w:rPr>
                <w:iCs/>
                <w:i/>
              </w:rPr>
              <w:t>Until the learner changes them or deletes the account; send records are deleted with the account</w:t>
            </w:r>
          </w:p>
        </w:tc>
      </w:tr>
      <w:tr>
        <w:tc>
          <w:tcPr/>
          <w:p>
            <w:pPr>
              <w:pStyle w:val="Compact"/>
              <w:jc w:val="left"/>
            </w:pPr>
            <w:r>
              <w:t>Computer offers</w:t>
            </w:r>
          </w:p>
        </w:tc>
        <w:tc>
          <w:tcPr/>
          <w:p>
            <w:pPr>
              <w:pStyle w:val="Compact"/>
              <w:jc w:val="left"/>
            </w:pPr>
            <w:r>
              <w:rPr>
                <w:iCs/>
                <w:i/>
              </w:rPr>
              <w:t>Two years after the last update, then deleted automatically</w:t>
            </w:r>
          </w:p>
        </w:tc>
      </w:tr>
      <w:tr>
        <w:tc>
          <w:tcPr/>
          <w:p>
            <w:pPr>
              <w:pStyle w:val="Compact"/>
              <w:jc w:val="left"/>
            </w:pPr>
            <w:r>
              <w:t>AI helper use records</w:t>
            </w:r>
          </w:p>
        </w:tc>
        <w:tc>
          <w:tcPr/>
          <w:p>
            <w:pPr>
              <w:pStyle w:val="Compact"/>
              <w:jc w:val="left"/>
            </w:pPr>
            <w:r>
              <w:rPr>
                <w:iCs/>
                <w:i/>
              </w:rPr>
              <w:t>13 months, then deleted</w:t>
            </w:r>
          </w:p>
        </w:tc>
      </w:tr>
      <w:tr>
        <w:tc>
          <w:tcPr/>
          <w:p>
            <w:pPr>
              <w:pStyle w:val="Compact"/>
              <w:jc w:val="left"/>
            </w:pPr>
            <w:r>
              <w:t>Student Program records</w:t>
            </w:r>
          </w:p>
        </w:tc>
        <w:tc>
          <w:tcPr/>
          <w:p>
            <w:pPr>
              <w:pStyle w:val="Compact"/>
              <w:jc w:val="left"/>
            </w:pPr>
            <w:r>
              <w:rPr>
                <w:iCs/>
                <w:i/>
              </w:rPr>
              <w:t>While the student is enrolled and one year after they leave the program, then deleted</w:t>
            </w:r>
          </w:p>
        </w:tc>
      </w:tr>
      <w:tr>
        <w:tc>
          <w:tcPr/>
          <w:p>
            <w:pPr>
              <w:pStyle w:val="Compact"/>
              <w:jc w:val="left"/>
            </w:pPr>
            <w:r>
              <w:t>Reviewed-answers questions and answers</w:t>
            </w:r>
          </w:p>
        </w:tc>
        <w:tc>
          <w:tcPr/>
          <w:p>
            <w:pPr>
              <w:pStyle w:val="Compact"/>
              <w:jc w:val="left"/>
            </w:pPr>
            <w:r>
              <w:rPr>
                <w:iCs/>
                <w:i/>
              </w:rPr>
              <w:t>90 days after the answer, then deleted automatically (or with the account)</w:t>
            </w:r>
          </w:p>
        </w:tc>
      </w:tr>
      <w:tr>
        <w:tc>
          <w:tcPr/>
          <w:p>
            <w:pPr>
              <w:pStyle w:val="Compact"/>
              <w:jc w:val="left"/>
            </w:pPr>
            <w:r>
              <w:t>Note that a student's consent was withdrawn</w:t>
            </w:r>
          </w:p>
        </w:tc>
        <w:tc>
          <w:tcPr/>
          <w:p>
            <w:pPr>
              <w:pStyle w:val="Compact"/>
              <w:jc w:val="left"/>
            </w:pPr>
            <w:r>
              <w:rPr>
                <w:iCs/>
                <w:i/>
              </w:rPr>
              <w:t>One year, with dates only (no names or contact details), then deleted automatically</w:t>
            </w:r>
          </w:p>
        </w:tc>
      </w:tr>
      <w:tr>
        <w:tc>
          <w:tcPr/>
          <w:p>
            <w:pPr>
              <w:pStyle w:val="Compact"/>
              <w:jc w:val="left"/>
            </w:pPr>
            <w:r>
              <w:t>Sign-ups not finished (email not confirmed, or no PIN chosen)</w:t>
            </w:r>
          </w:p>
        </w:tc>
        <w:tc>
          <w:tcPr/>
          <w:p>
            <w:pPr>
              <w:pStyle w:val="Compact"/>
              <w:jc w:val="left"/>
            </w:pPr>
            <w:r>
              <w:rPr>
                <w:iCs/>
                <w:i/>
              </w:rPr>
              <w:t>7 days, then deleted automatically</w:t>
            </w:r>
          </w:p>
        </w:tc>
      </w:tr>
    </w:tbl>
    <w:bookmarkEnd w:id="24"/>
    <w:bookmarkStart w:id="25" w:name="peoples-rights"/>
    <w:p>
      <w:pPr>
        <w:pStyle w:val="Heading1"/>
      </w:pPr>
      <w:r>
        <w:t xml:space="preserve">6. People’s rights</w:t>
      </w:r>
    </w:p>
    <w:p>
      <w:pPr>
        <w:pStyle w:val="FirstParagraph"/>
      </w:pPr>
      <w:r>
        <w:t>Anyone may ask to see, correct or delete the personal information we hold about them, or object to its use. Learners can also delete their own account and personal data from My profile, after confirming with their password (or their PIN, if they have no password) and, if they use one, their authenticator code; a confirmation email is sent. Payment records are kept without personal details, as tax law requires. Requests go to learn@liguaneaadvisory.com. Our service commitments promise an answer within 30 days. Before acting, we confirm the person’s identity.</w:t>
      </w:r>
    </w:p>
    <w:bookmarkEnd w:id="25"/>
    <w:bookmarkStart w:id="26" w:name="if-something-goes-wrong"/>
    <w:p>
      <w:pPr>
        <w:pStyle w:val="Heading1"/>
      </w:pPr>
      <w:r>
        <w:t xml:space="preserve">7. If something goes wrong</w:t>
      </w:r>
    </w:p>
    <w:p>
      <w:pPr>
        <w:pStyle w:val="FirstParagraph"/>
      </w:pPr>
      <w:r>
        <w:t xml:space="preserve">If personal information is lost, disclosed or accessed without permission, we contain it, assess the risk, tell the people affected, and notify the Office of the Information Commissioner as the Act requires. Every incident is recorded, including those judged not to need notification.</w:t>
      </w:r>
    </w:p>
    <w:bookmarkEnd w:id="26"/>
    <w:bookmarkStart w:id="27" w:name="responsibility"/>
    <w:p>
      <w:pPr>
        <w:pStyle w:val="Heading1"/>
      </w:pPr>
      <w:r>
        <w:t xml:space="preserve">8. Responsibility</w:t>
      </w:r>
    </w:p>
    <w:p>
      <w:pPr>
        <w:pStyle w:val="FirstParagraph"/>
      </w:pPr>
      <w:r>
        <w:t xml:space="preserve">The principal of Liguanea Advisory Group Limited is responsible for this policy. It is reviewed at least once a year and whenever the system changes materially.</w:t>
      </w:r>
    </w:p>
    <w:bookmarkEnd w:id="27"/>
    <w:sectPr>
      <w:headerReference w:type="default" r:id="rId9"/>
      <w:footerReference w:type="default" r:id="rId10"/>
      <w:pgSz w:w="12240" w:h="15840"/>
      <w:pgMar w:left="1440" w:right="1440" w:top="1944" w:bottom="1368" w:header="504"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8" w:space="6" w:color="E8B03A"/>
      </w:pBdr>
      <w:spacing w:before="0"/>
      <w:pBdr>
        <w:top w:val="single" w:sz="8" w:space="6" w:color="E8B03A"/>
      </w:pBdr>
      <w:pBdr>
        <w:top w:val="single" w:sz="8" w:space="6" w:color="E8B03A"/>
      </w:pBdr>
      <w:pBdr>
        <w:top w:val="single" w:sz="8" w:space="6" w:color="E8B03A"/>
      </w:pBdr>
      <w:pBdr>
        <w:top w:val="single" w:sz="8" w:space="6" w:color="E8B03A"/>
      </w:pBdr>
      <w:pBdr>
        <w:top w:val="single" w:sz="8" w:space="6" w:color="E8B03A"/>
      </w:pBdr>
      <w:pBdr>
        <w:top w:val="single" w:sz="8" w:space="6" w:color="E8B03A"/>
      </w:pBdr>
      <w:pBdr>
        <w:top w:val="single" w:sz="8" w:space="6" w:color="E8B03A"/>
      </w:pBdr>
    </w:pPr>
    <w:r>
      <w:rPr>
        <w:rFonts w:ascii="Aptos" w:hAnsi="Aptos"/>
        <w:color w:val="5B7286"/>
        <w:sz w:val="16"/>
      </w:rPr>
      <w:t>FirstClick Digital Skills is a business name of Liguanea Advisory Group Limited · 8 Lakehurst Drive, Kingston 8, St. Andrew, Jamaica W.I. · learn@liguaneaadvisory.com</w:t>
    </w:r>
  </w:p>
  <w:p>
    <w:pPr>
      <w:spacing w:before="40"/>
    </w:pPr>
    <w:r>
      <w:rPr>
        <w:rFonts w:ascii="Aptos" w:hAnsi="Aptos"/>
        <w:color w:val="5B7286"/>
        <w:sz w:val="16"/>
      </w:rPr>
      <w:t xml:space="preserve">Page </w:t>
    </w:r>
    <w:r>
      <w:rPr>
        <w:rFonts w:ascii="Aptos" w:hAnsi="Aptos"/>
        <w:color w:val="5B7286"/>
        <w:sz w:val="16"/>
      </w:rPr>
      <w:fldChar w:fldCharType="begin"/>
    </w:r>
    <w:r>
      <w:rPr>
        <w:rFonts w:ascii="Aptos" w:hAnsi="Aptos"/>
        <w:color w:val="5B7286"/>
        <w:sz w:val="16"/>
      </w:rPr>
      <w:instrText xml:space="preserve">PAGE</w:instrText>
    </w:r>
    <w:r>
      <w:rPr>
        <w:rFonts w:ascii="Aptos" w:hAnsi="Aptos"/>
        <w:color w:val="5B7286"/>
        <w:sz w:val="16"/>
      </w:rPr>
      <w:fldChar w:fldCharType="separate"/>
    </w:r>
    <w:r>
      <w:rPr>
        <w:rFonts w:ascii="Aptos" w:hAnsi="Aptos"/>
        <w:color w:val="5B7286"/>
        <w:sz w:val="16"/>
      </w:rPr>
      <w:t>1</w:t>
    </w:r>
    <w:r>
      <w:rPr>
        <w:rFonts w:ascii="Aptos" w:hAnsi="Aptos"/>
        <w:color w:val="5B7286"/>
        <w:sz w:val="16"/>
      </w:rPr>
      <w:fldChar w:fldCharType="end"/>
    </w:r>
    <w:r>
      <w:rPr>
        <w:rFonts w:ascii="Aptos" w:hAnsi="Aptos"/>
        <w:color w:val="5B7286"/>
        <w:sz w:val="16"/>
      </w:rPr>
      <w:t xml:space="preserve"> of </w:t>
    </w:r>
    <w:r>
      <w:rPr>
        <w:rFonts w:ascii="Aptos" w:hAnsi="Aptos"/>
        <w:color w:val="5B7286"/>
        <w:sz w:val="16"/>
      </w:rPr>
      <w:fldChar w:fldCharType="begin"/>
    </w:r>
    <w:r>
      <w:rPr>
        <w:rFonts w:ascii="Aptos" w:hAnsi="Aptos"/>
        <w:color w:val="5B7286"/>
        <w:sz w:val="16"/>
      </w:rPr>
      <w:instrText xml:space="preserve">NUMPAGES</w:instrText>
    </w:r>
    <w:r>
      <w:rPr>
        <w:rFonts w:ascii="Aptos" w:hAnsi="Aptos"/>
        <w:color w:val="5B7286"/>
        <w:sz w:val="16"/>
      </w:rPr>
      <w:fldChar w:fldCharType="separate"/>
    </w:r>
    <w:r>
      <w:rPr>
        <w:rFonts w:ascii="Aptos" w:hAnsi="Aptos"/>
        <w:color w:val="5B7286"/>
        <w:sz w:val="16"/>
      </w:rPr>
      <w:t>1</w:t>
    </w:r>
    <w:r>
      <w:rPr>
        <w:rFonts w:ascii="Aptos" w:hAnsi="Aptos"/>
        <w:color w:val="5B7286"/>
        <w:sz w:val="16"/>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drawing>
        <wp:inline xmlns:a="http://schemas.openxmlformats.org/drawingml/2006/main" xmlns:pic="http://schemas.openxmlformats.org/drawingml/2006/picture">
          <wp:extent cx="5943600" cy="615973"/>
          <wp:docPr id="1" name="Picture 1"/>
          <wp:cNvGraphicFramePr>
            <a:graphicFrameLocks noChangeAspect="1"/>
          </wp:cNvGraphicFramePr>
          <a:graphic>
            <a:graphicData uri="http://schemas.openxmlformats.org/drawingml/2006/picture">
              <pic:pic>
                <pic:nvPicPr>
                  <pic:cNvPr id="0" name="image.png"/>
                  <pic:cNvPicPr/>
                </pic:nvPicPr>
                <pic:blipFill>
                  <a:blip r:embed="rId2"/>
                  <a:stretch>
                    <a:fillRect/>
                  </a:stretch>
                </pic:blipFill>
                <pic:spPr>
                  <a:xfrm>
                    <a:off x="0" y="0"/>
                    <a:ext cx="5943600" cy="615973"/>
                  </a:xfrm>
                  <a:prstGeom prst="rect"/>
                </pic:spPr>
              </pic:pic>
            </a:graphicData>
          </a:graphic>
        </wp:inline>
      </w:drawing>
    </w: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ptos" w:hAnsi="Aptos" w:cs="Aptos" w:eastAsia="Aptos"/>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Aptos" w:hAnsi="Aptos" w:cs="Aptos" w:eastAsia="Aptos"/>
    </w:rPr>
  </w:style>
  <w:style w:styleId="BodyText" w:type="paragraph">
    <w:name w:val="Body Text"/>
    <w:basedOn w:val="Normal"/>
    <w:link w:val="BodyTextChar"/>
    <w:pPr>
      <w:spacing w:after="180" w:before="180"/>
    </w:pPr>
    <w:qFormat/>
    <w:rPr>
      <w:rFonts w:ascii="Aptos" w:hAnsi="Aptos" w:cs="Aptos" w:eastAsia="Aptos"/>
    </w:rPr>
  </w:style>
  <w:style w:customStyle="1" w:styleId="FirstParagraph" w:type="paragraph">
    <w:name w:val="First Paragraph"/>
    <w:basedOn w:val="BodyText"/>
    <w:next w:val="BodyText"/>
    <w:qFormat/>
    <w:rPr>
      <w:rFonts w:ascii="Aptos" w:hAnsi="Aptos" w:cs="Aptos" w:eastAsia="Aptos"/>
    </w:rPr>
  </w:style>
  <w:style w:customStyle="1" w:styleId="Compact" w:type="paragraph">
    <w:name w:val="Compact"/>
    <w:basedOn w:val="BodyText"/>
    <w:qFormat/>
    <w:pPr>
      <w:spacing w:after="36" w:before="36"/>
    </w:pPr>
    <w:rPr>
      <w:rFonts w:ascii="Aptos" w:hAnsi="Aptos" w:cs="Aptos" w:eastAsia="Aptos"/>
    </w:rPr>
  </w:style>
  <w:style w:styleId="Title" w:type="paragraph">
    <w:name w:val="Title"/>
    <w:basedOn w:val="Normal"/>
    <w:next w:val="BodyText"/>
    <w:qFormat/>
    <w:pPr>
      <w:keepNext/>
      <w:keepLines/>
      <w:spacing w:after="240" w:before="480"/>
      <w:jc w:val="center"/>
    </w:pPr>
    <w:rPr>
      <w:rFonts w:ascii="Aptos" w:hAnsi="Aptos" w:cs="Aptos" w:eastAsia="Aptos"/>
      <w:b/>
      <w:bCs/>
      <w:color w:val="0B2239"/>
      <w:sz w:val="36"/>
      <w:szCs w:val="36"/>
    </w:rPr>
  </w:style>
  <w:style w:styleId="Subtitle" w:type="paragraph">
    <w:name w:val="Subtitle"/>
    <w:basedOn w:val="Title"/>
    <w:next w:val="BodyText"/>
    <w:qFormat/>
    <w:pPr>
      <w:keepNext/>
      <w:keepLines/>
      <w:spacing w:after="240" w:before="240"/>
      <w:jc w:val="center"/>
    </w:pPr>
    <w:rPr>
      <w:rFonts w:ascii="Aptos" w:hAnsi="Aptos" w:cs="Aptos" w:eastAsia="Aptos"/>
      <w:color w:val="5B7286"/>
      <w:sz w:val="30"/>
      <w:szCs w:val="30"/>
    </w:rPr>
  </w:style>
  <w:style w:customStyle="1" w:styleId="Author" w:type="paragraph">
    <w:name w:val="Author"/>
    <w:next w:val="BodyText"/>
    <w:qFormat/>
    <w:pPr>
      <w:keepNext/>
      <w:keepLines/>
      <w:jc w:val="center"/>
    </w:pPr>
    <w:rPr>
      <w:rFonts w:ascii="Aptos" w:hAnsi="Aptos" w:cs="Aptos" w:eastAsia="Aptos"/>
    </w:rPr>
  </w:style>
  <w:style w:styleId="Date" w:type="paragraph">
    <w:name w:val="Date"/>
    <w:next w:val="BodyText"/>
    <w:qFormat/>
    <w:pPr>
      <w:keepNext/>
      <w:keepLines/>
      <w:jc w:val="center"/>
    </w:pPr>
    <w:rPr>
      <w:rFonts w:ascii="Aptos" w:hAnsi="Aptos" w:cs="Aptos" w:eastAsia="Aptos"/>
    </w:rPr>
  </w:style>
  <w:style w:customStyle="1" w:styleId="AbstractTitle" w:type="paragraph">
    <w:name w:val="Abstract Title"/>
    <w:basedOn w:val="Normal"/>
    <w:next w:val="Abstract"/>
    <w:qFormat/>
    <w:pPr>
      <w:keepNext/>
      <w:keepLines/>
      <w:jc w:val="center"/>
      <w:spacing w:after="0" w:before="300"/>
    </w:pPr>
    <w:rPr>
      <w:rFonts w:ascii="Aptos" w:hAnsi="Aptos" w:cs="Aptos" w:eastAsia="Aptos"/>
      <w:sz w:val="20"/>
      <w:szCs w:val="20"/>
      <w:b/>
      <w:color w:val="345A8A"/>
      &gt;
    </w:rPr>
  </w:style>
  <w:style w:customStyle="1" w:styleId="Abstract" w:type="paragraph">
    <w:name w:val="Abstract"/>
    <w:basedOn w:val="Normal"/>
    <w:next w:val="BodyText"/>
    <w:qFormat/>
    <w:pPr>
      <w:keepNext/>
      <w:keepLines/>
      <w:spacing w:after="300" w:before="100"/>
    </w:pPr>
    <w:rPr>
      <w:rFonts w:ascii="Aptos" w:hAnsi="Aptos" w:cs="Aptos" w:eastAsia="Aptos"/>
      <w:sz w:val="20"/>
      <w:szCs w:val="20"/>
    </w:rPr>
  </w:style>
  <w:style w:styleId="Bibliography" w:type="paragraph">
    <w:name w:val="Bibliography"/>
    <w:basedOn w:val="Normal"/>
    <w:next w:val="Bibliography"/>
    <w:qFormat/>
    <w:pPr/>
    <w:rPr>
      <w:rFonts w:ascii="Aptos" w:hAnsi="Aptos" w:cs="Aptos" w:eastAsia="Aptos"/>
    </w:rPr>
  </w:style>
  <w:style w:styleId="Heading1" w:type="paragraph">
    <w:name w:val="Heading 1"/>
    <w:basedOn w:val="Normal"/>
    <w:next w:val="BodyText"/>
    <w:uiPriority w:val="9"/>
    <w:qFormat/>
    <w:pPr>
      <w:keepNext/>
      <w:keepLines/>
      <w:spacing w:after="0" w:before="480"/>
      <w:outlineLvl w:val="0"/>
    </w:pPr>
    <w:rPr>
      <w:rFonts w:ascii="Aptos" w:hAnsi="Aptos" w:cs="Aptos" w:eastAsia="Aptos"/>
      <w:b/>
      <w:bCs/>
      <w:color w:val="0B2239"/>
      <w:sz w:val="32"/>
      <w:szCs w:val="32"/>
    </w:rPr>
  </w:style>
  <w:style w:styleId="Heading2" w:type="paragraph">
    <w:name w:val="Heading 2"/>
    <w:basedOn w:val="Normal"/>
    <w:next w:val="BodyText"/>
    <w:uiPriority w:val="9"/>
    <w:unhideWhenUsed/>
    <w:qFormat/>
    <w:pPr>
      <w:keepNext/>
      <w:keepLines/>
      <w:spacing w:after="0" w:before="200"/>
      <w:outlineLvl w:val="1"/>
    </w:pPr>
    <w:rPr>
      <w:rFonts w:ascii="Aptos" w:hAnsi="Aptos" w:cs="Aptos" w:eastAsia="Aptos"/>
      <w:b/>
      <w:bCs/>
      <w:color w:val="0B2239"/>
      <w:sz w:val="28"/>
      <w:szCs w:val="28"/>
    </w:rPr>
  </w:style>
  <w:style w:styleId="Heading3" w:type="paragraph">
    <w:name w:val="Heading 3"/>
    <w:basedOn w:val="Normal"/>
    <w:next w:val="BodyText"/>
    <w:uiPriority w:val="9"/>
    <w:unhideWhenUsed/>
    <w:qFormat/>
    <w:pPr>
      <w:keepNext/>
      <w:keepLines/>
      <w:spacing w:after="0" w:before="200"/>
      <w:outlineLvl w:val="2"/>
    </w:pPr>
    <w:rPr>
      <w:rFonts w:ascii="Aptos" w:hAnsi="Aptos" w:cs="Aptos" w:eastAsia="Aptos"/>
      <w:b/>
      <w:bCs/>
      <w:color w:val="0B2239"/>
      <w:sz w:val="24"/>
      <w:szCs w:val="24"/>
    </w:rPr>
  </w:style>
  <w:style w:styleId="Heading4" w:type="paragraph">
    <w:name w:val="Heading 4"/>
    <w:basedOn w:val="Normal"/>
    <w:next w:val="BodyText"/>
    <w:uiPriority w:val="9"/>
    <w:unhideWhenUsed/>
    <w:qFormat/>
    <w:pPr>
      <w:keepNext/>
      <w:keepLines/>
      <w:spacing w:after="0" w:before="200"/>
      <w:outlineLvl w:val="3"/>
    </w:pPr>
    <w:rPr>
      <w:rFonts w:ascii="Aptos" w:hAnsi="Aptos" w:cs="Aptos" w:eastAsia="Aptos"/>
      <w:i/>
      <w:bCs/>
      <w:color w:val="0B2239"/>
      <w:sz w:val="24"/>
      <w:szCs w:val="24"/>
    </w:rPr>
  </w:style>
  <w:style w:styleId="Heading5" w:type="paragraph">
    <w:name w:val="Heading 5"/>
    <w:basedOn w:val="Normal"/>
    <w:next w:val="BodyText"/>
    <w:uiPriority w:val="9"/>
    <w:unhideWhenUsed/>
    <w:qFormat/>
    <w:pPr>
      <w:keepNext/>
      <w:keepLines/>
      <w:spacing w:after="0" w:before="200"/>
      <w:outlineLvl w:val="4"/>
    </w:pPr>
    <w:rPr>
      <w:rFonts w:ascii="Aptos" w:hAnsi="Aptos" w:cs="Aptos" w:eastAsia="Aptos"/>
      <w:iCs/>
      <w:color w:val="0B2239"/>
      <w:sz w:val="24"/>
      <w:szCs w:val="24"/>
    </w:rPr>
  </w:style>
  <w:style w:styleId="Heading6" w:type="paragraph">
    <w:name w:val="Heading 6"/>
    <w:basedOn w:val="Normal"/>
    <w:next w:val="BodyText"/>
    <w:uiPriority w:val="9"/>
    <w:unhideWhenUsed/>
    <w:qFormat/>
    <w:pPr>
      <w:keepNext/>
      <w:keepLines/>
      <w:spacing w:after="0" w:before="200"/>
      <w:outlineLvl w:val="5"/>
    </w:pPr>
    <w:rPr>
      <w:rFonts w:ascii="Aptos" w:hAnsi="Aptos" w:cs="Aptos" w:eastAsia="Aptos"/>
      <w:color w:val="0B2239"/>
      <w:sz w:val="24"/>
      <w:szCs w:val="24"/>
    </w:rPr>
  </w:style>
  <w:style w:styleId="Heading7" w:type="paragraph">
    <w:name w:val="Heading 7"/>
    <w:basedOn w:val="Normal"/>
    <w:next w:val="BodyText"/>
    <w:uiPriority w:val="9"/>
    <w:unhideWhenUsed/>
    <w:qFormat/>
    <w:pPr>
      <w:keepNext/>
      <w:keepLines/>
      <w:spacing w:after="0" w:before="200"/>
      <w:outlineLvl w:val="6"/>
    </w:pPr>
    <w:rPr>
      <w:rFonts w:ascii="Aptos" w:hAnsi="Aptos" w:cs="Aptos" w:eastAsia="Aptos"/>
      <w:color w:val="0B2239"/>
      <w:sz w:val="24"/>
      <w:szCs w:val="24"/>
    </w:rPr>
  </w:style>
  <w:style w:styleId="Heading8" w:type="paragraph">
    <w:name w:val="Heading 8"/>
    <w:basedOn w:val="Normal"/>
    <w:next w:val="BodyText"/>
    <w:uiPriority w:val="9"/>
    <w:unhideWhenUsed/>
    <w:qFormat/>
    <w:pPr>
      <w:keepNext/>
      <w:keepLines/>
      <w:spacing w:after="0" w:before="200"/>
      <w:outlineLvl w:val="7"/>
    </w:pPr>
    <w:rPr>
      <w:rFonts w:ascii="Aptos" w:hAnsi="Aptos" w:cs="Aptos" w:eastAsia="Aptos"/>
      <w:color w:val="0B2239"/>
      <w:sz w:val="24"/>
      <w:szCs w:val="24"/>
    </w:rPr>
  </w:style>
  <w:style w:styleId="Heading9" w:type="paragraph">
    <w:name w:val="Heading 9"/>
    <w:basedOn w:val="Normal"/>
    <w:next w:val="BodyText"/>
    <w:uiPriority w:val="9"/>
    <w:unhideWhenUsed/>
    <w:qFormat/>
    <w:pPr>
      <w:keepNext/>
      <w:keepLines/>
      <w:spacing w:after="0" w:before="200"/>
      <w:outlineLvl w:val="8"/>
    </w:pPr>
    <w:rPr>
      <w:rFonts w:ascii="Aptos" w:hAnsi="Aptos" w:cs="Aptos" w:eastAsia="Aptos"/>
      <w:color w:val="0B2239"/>
      <w:sz w:val="24"/>
      <w:szCs w:val="24"/>
    </w:rPr>
  </w:style>
  <w:style w:styleId="BlockText" w:type="paragraph">
    <w:name w:val="Block Text"/>
    <w:basedOn w:val="BodyText"/>
    <w:next w:val="BodyText"/>
    <w:uiPriority w:val="9"/>
    <w:unhideWhenUsed/>
    <w:qFormat/>
    <w:pPr>
      <w:spacing w:after="100" w:before="100"/>
      <w:ind w:firstLine="0" w:left="480" w:right="480"/>
    </w:pPr>
    <w:rPr>
      <w:rFonts w:ascii="Aptos" w:hAnsi="Aptos" w:cs="Aptos" w:eastAsia="Aptos"/>
    </w:rPr>
  </w:style>
  <w:style w:styleId="FootnoteText" w:type="paragraph">
    <w:name w:val="Footnote Text"/>
    <w:basedOn w:val="Normal"/>
    <w:next w:val="FootnoteText"/>
    <w:uiPriority w:val="9"/>
    <w:unhideWhenUsed/>
    <w:qFormat/>
    <w:rPr>
      <w:rFonts w:ascii="Aptos" w:hAnsi="Aptos" w:cs="Aptos" w:eastAsia="Aptos"/>
    </w:rPr>
  </w:style>
  <w:style w:default="1" w:styleId="DefaultParagraphFont" w:type="character">
    <w:name w:val="Default Paragraph Font"/>
    <w:semiHidden/>
    <w:unhideWhenUsed/>
    <w:rPr>
      <w:rFonts w:ascii="Aptos" w:hAnsi="Aptos" w:cs="Aptos" w:eastAsia="Aptos"/>
    </w:rPr>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Aptos" w:hAnsi="Aptos" w:cs="Aptos" w:eastAsia="Aptos"/>
      <w:b/>
    </w:rPr>
  </w:style>
  <w:style w:customStyle="1" w:styleId="Definition" w:type="paragraph">
    <w:name w:val="Definition"/>
    <w:basedOn w:val="Normal"/>
    <w:rPr>
      <w:rFonts w:ascii="Aptos" w:hAnsi="Aptos" w:cs="Aptos" w:eastAsia="Aptos"/>
    </w:rPr>
  </w:style>
  <w:style w:styleId="Caption" w:type="paragraph">
    <w:name w:val="Caption"/>
    <w:basedOn w:val="Normal"/>
    <w:link w:val="BodyTextChar"/>
    <w:pPr>
      <w:spacing w:after="120" w:before="0"/>
    </w:pPr>
    <w:rPr>
      <w:rFonts w:ascii="Aptos" w:hAnsi="Aptos" w:cs="Aptos" w:eastAsia="Aptos"/>
      <w:i/>
    </w:rPr>
  </w:style>
  <w:style w:customStyle="1" w:styleId="TableCaption" w:type="paragraph">
    <w:name w:val="Table Caption"/>
    <w:basedOn w:val="Caption"/>
    <w:pPr>
      <w:keepNext/>
    </w:pPr>
    <w:rPr>
      <w:rFonts w:ascii="Aptos" w:hAnsi="Aptos" w:cs="Aptos" w:eastAsia="Aptos"/>
    </w:rPr>
  </w:style>
  <w:style w:customStyle="1" w:styleId="ImageCaption" w:type="paragraph">
    <w:name w:val="Image Caption"/>
    <w:basedOn w:val="Caption"/>
    <w:rPr>
      <w:rFonts w:ascii="Aptos" w:hAnsi="Aptos" w:cs="Aptos" w:eastAsia="Aptos"/>
    </w:rPr>
  </w:style>
  <w:style w:customStyle="1" w:styleId="Figure" w:type="paragraph">
    <w:name w:val="Figure"/>
    <w:basedOn w:val="Normal"/>
    <w:rPr>
      <w:rFonts w:ascii="Aptos" w:hAnsi="Aptos" w:cs="Aptos" w:eastAsia="Aptos"/>
    </w:rPr>
  </w:style>
  <w:style w:customStyle="1" w:styleId="CaptionedFigure" w:type="paragraph">
    <w:name w:val="Captioned Figure"/>
    <w:basedOn w:val="Figure"/>
    <w:pPr>
      <w:keepNext/>
    </w:pPr>
    <w:rPr>
      <w:rFonts w:ascii="Aptos" w:hAnsi="Aptos" w:cs="Aptos" w:eastAsia="Aptos"/>
    </w:rPr>
  </w:style>
  <w:style w:customStyle="1" w:styleId="BodyTextChar" w:type="character">
    <w:name w:val="Body Text Char"/>
    <w:basedOn w:val="DefaultParagraphFont"/>
    <w:link w:val="BodyText"/>
    <w:rPr>
      <w:rFonts w:ascii="Aptos" w:hAnsi="Aptos" w:cs="Aptos" w:eastAsia="Aptos"/>
    </w:rPr>
  </w:style>
  <w:style w:customStyle="1" w:styleId="VerbatimChar" w:type="character">
    <w:name w:val="Verbatim Char"/>
    <w:basedOn w:val="BodyTextChar"/>
    <w:rPr>
      <w:rFonts w:ascii="Consolas" w:hAnsi="Consolas" w:cs="Consolas" w:eastAsia="Consolas"/>
      <w:sz w:val="22"/>
    </w:rPr>
  </w:style>
  <w:style w:customStyle="1" w:styleId="SectionNumber" w:type="character">
    <w:name w:val="Section Number"/>
    <w:basedOn w:val="BodyTextChar"/>
    <w:rPr>
      <w:rFonts w:ascii="Aptos" w:hAnsi="Aptos" w:cs="Aptos" w:eastAsia="Aptos"/>
    </w:rPr>
  </w:style>
  <w:style w:styleId="FootnoteReference" w:type="character">
    <w:name w:val="Footnote Reference"/>
    <w:basedOn w:val="BodyTextChar"/>
    <w:rPr>
      <w:rFonts w:ascii="Aptos" w:hAnsi="Aptos" w:cs="Aptos" w:eastAsia="Aptos"/>
      <w:vertAlign w:val="superscript"/>
    </w:rPr>
  </w:style>
  <w:style w:styleId="Hyperlink" w:type="character">
    <w:name w:val="Hyperlink"/>
    <w:basedOn w:val="BodyTextChar"/>
    <w:rPr>
      <w:rFonts w:ascii="Aptos" w:hAnsi="Aptos" w:cs="Aptos" w:eastAsia="Aptos"/>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Aptos" w:hAnsi="Aptos" w:cs="Aptos" w:eastAsia="Aptos"/>
      <w:b w:val="0"/>
      <w:bCs w:val="0"/>
      <w:color w:themeColor="accent1" w:themeShade="BF" w:val="365F91"/>
    </w:rPr>
  </w:style>
  <w:style w:customStyle="1" w:styleId="SourceCode" w:type="paragraph">
    <w:name w:val="Source Code"/>
    <w:basedOn w:val="Normal"/>
    <w:link w:val="VerbatimChar"/>
    <w:pPr>
      <w:wordWrap w:val="off"/>
    </w:pPr>
    <w:rPr>
      <w:rFonts w:ascii="Consolas" w:hAnsi="Consolas" w:cs="Consolas" w:eastAsia="Consolas"/>
    </w:rPr>
  </w:style>
  <w:style w:customStyle="1" w:styleId="KeywordTok" w:type="character">
    <w:name w:val="KeywordTok"/>
    <w:basedOn w:val="VerbatimChar"/>
    <w:rPr>
      <w:rFonts w:ascii="Aptos" w:hAnsi="Aptos" w:cs="Aptos" w:eastAsia="Aptos"/>
      <w:color w:val="007020"/>
      <w:b/>
    </w:rPr>
  </w:style>
  <w:style w:customStyle="1" w:styleId="DataTypeTok" w:type="character">
    <w:name w:val="DataTypeTok"/>
    <w:basedOn w:val="VerbatimChar"/>
    <w:rPr>
      <w:rFonts w:ascii="Aptos" w:hAnsi="Aptos" w:cs="Aptos" w:eastAsia="Aptos"/>
      <w:color w:val="902000"/>
    </w:rPr>
  </w:style>
  <w:style w:customStyle="1" w:styleId="DecValTok" w:type="character">
    <w:name w:val="DecValTok"/>
    <w:basedOn w:val="VerbatimChar"/>
    <w:rPr>
      <w:rFonts w:ascii="Aptos" w:hAnsi="Aptos" w:cs="Aptos" w:eastAsia="Aptos"/>
      <w:color w:val="40a070"/>
    </w:rPr>
  </w:style>
  <w:style w:customStyle="1" w:styleId="BaseNTok" w:type="character">
    <w:name w:val="BaseNTok"/>
    <w:basedOn w:val="VerbatimChar"/>
    <w:rPr>
      <w:rFonts w:ascii="Aptos" w:hAnsi="Aptos" w:cs="Aptos" w:eastAsia="Aptos"/>
      <w:color w:val="40a070"/>
    </w:rPr>
  </w:style>
  <w:style w:customStyle="1" w:styleId="FloatTok" w:type="character">
    <w:name w:val="FloatTok"/>
    <w:basedOn w:val="VerbatimChar"/>
    <w:rPr>
      <w:rFonts w:ascii="Aptos" w:hAnsi="Aptos" w:cs="Aptos" w:eastAsia="Aptos"/>
      <w:color w:val="40a070"/>
    </w:rPr>
  </w:style>
  <w:style w:customStyle="1" w:styleId="ConstantTok" w:type="character">
    <w:name w:val="ConstantTok"/>
    <w:basedOn w:val="VerbatimChar"/>
    <w:rPr>
      <w:rFonts w:ascii="Aptos" w:hAnsi="Aptos" w:cs="Aptos" w:eastAsia="Aptos"/>
      <w:color w:val="880000"/>
    </w:rPr>
  </w:style>
  <w:style w:customStyle="1" w:styleId="CharTok" w:type="character">
    <w:name w:val="CharTok"/>
    <w:basedOn w:val="VerbatimChar"/>
    <w:rPr>
      <w:rFonts w:ascii="Aptos" w:hAnsi="Aptos" w:cs="Aptos" w:eastAsia="Aptos"/>
      <w:color w:val="4070a0"/>
    </w:rPr>
  </w:style>
  <w:style w:customStyle="1" w:styleId="SpecialCharTok" w:type="character">
    <w:name w:val="SpecialCharTok"/>
    <w:basedOn w:val="VerbatimChar"/>
    <w:rPr>
      <w:rFonts w:ascii="Aptos" w:hAnsi="Aptos" w:cs="Aptos" w:eastAsia="Aptos"/>
      <w:color w:val="4070a0"/>
    </w:rPr>
  </w:style>
  <w:style w:customStyle="1" w:styleId="StringTok" w:type="character">
    <w:name w:val="StringTok"/>
    <w:basedOn w:val="VerbatimChar"/>
    <w:rPr>
      <w:rFonts w:ascii="Aptos" w:hAnsi="Aptos" w:cs="Aptos" w:eastAsia="Aptos"/>
      <w:color w:val="4070a0"/>
    </w:rPr>
  </w:style>
  <w:style w:customStyle="1" w:styleId="VerbatimStringTok" w:type="character">
    <w:name w:val="VerbatimStringTok"/>
    <w:basedOn w:val="VerbatimChar"/>
    <w:rPr>
      <w:rFonts w:ascii="Consolas" w:hAnsi="Consolas" w:cs="Consolas" w:eastAsia="Consolas"/>
      <w:color w:val="4070a0"/>
    </w:rPr>
  </w:style>
  <w:style w:customStyle="1" w:styleId="SpecialStringTok" w:type="character">
    <w:name w:val="SpecialStringTok"/>
    <w:basedOn w:val="VerbatimChar"/>
    <w:rPr>
      <w:rFonts w:ascii="Aptos" w:hAnsi="Aptos" w:cs="Aptos" w:eastAsia="Aptos"/>
      <w:color w:val="bb6688"/>
    </w:rPr>
  </w:style>
  <w:style w:customStyle="1" w:styleId="ImportTok" w:type="character">
    <w:name w:val="ImportTok"/>
    <w:basedOn w:val="VerbatimChar"/>
    <w:rPr>
      <w:rFonts w:ascii="Aptos" w:hAnsi="Aptos" w:cs="Aptos" w:eastAsia="Aptos"/>
      <w:color w:val="008000"/>
      <w:b/>
    </w:rPr>
  </w:style>
  <w:style w:customStyle="1" w:styleId="CommentTok" w:type="character">
    <w:name w:val="CommentTok"/>
    <w:basedOn w:val="VerbatimChar"/>
    <w:rPr>
      <w:rFonts w:ascii="Aptos" w:hAnsi="Aptos" w:cs="Aptos" w:eastAsia="Aptos"/>
      <w:color w:val="60a0b0"/>
      <w:i/>
    </w:rPr>
  </w:style>
  <w:style w:customStyle="1" w:styleId="DocumentationTok" w:type="character">
    <w:name w:val="DocumentationTok"/>
    <w:basedOn w:val="VerbatimChar"/>
    <w:rPr>
      <w:rFonts w:ascii="Aptos" w:hAnsi="Aptos" w:cs="Aptos" w:eastAsia="Aptos"/>
      <w:color w:val="ba2121"/>
      <w:i/>
    </w:rPr>
  </w:style>
  <w:style w:customStyle="1" w:styleId="AnnotationTok" w:type="character">
    <w:name w:val="AnnotationTok"/>
    <w:basedOn w:val="VerbatimChar"/>
    <w:rPr>
      <w:rFonts w:ascii="Aptos" w:hAnsi="Aptos" w:cs="Aptos" w:eastAsia="Aptos"/>
      <w:color w:val="60a0b0"/>
      <w:b/>
      <w:i/>
    </w:rPr>
  </w:style>
  <w:style w:customStyle="1" w:styleId="CommentVarTok" w:type="character">
    <w:name w:val="CommentVarTok"/>
    <w:basedOn w:val="VerbatimChar"/>
    <w:rPr>
      <w:rFonts w:ascii="Aptos" w:hAnsi="Aptos" w:cs="Aptos" w:eastAsia="Aptos"/>
      <w:color w:val="60a0b0"/>
      <w:b/>
      <w:i/>
    </w:rPr>
  </w:style>
  <w:style w:customStyle="1" w:styleId="OtherTok" w:type="character">
    <w:name w:val="OtherTok"/>
    <w:basedOn w:val="VerbatimChar"/>
    <w:rPr>
      <w:rFonts w:ascii="Aptos" w:hAnsi="Aptos" w:cs="Aptos" w:eastAsia="Aptos"/>
      <w:color w:val="007020"/>
    </w:rPr>
  </w:style>
  <w:style w:customStyle="1" w:styleId="FunctionTok" w:type="character">
    <w:name w:val="FunctionTok"/>
    <w:basedOn w:val="VerbatimChar"/>
    <w:rPr>
      <w:rFonts w:ascii="Aptos" w:hAnsi="Aptos" w:cs="Aptos" w:eastAsia="Aptos"/>
      <w:color w:val="06287e"/>
    </w:rPr>
  </w:style>
  <w:style w:customStyle="1" w:styleId="VariableTok" w:type="character">
    <w:name w:val="VariableTok"/>
    <w:basedOn w:val="VerbatimChar"/>
    <w:rPr>
      <w:rFonts w:ascii="Aptos" w:hAnsi="Aptos" w:cs="Aptos" w:eastAsia="Aptos"/>
      <w:color w:val="19177c"/>
    </w:rPr>
  </w:style>
  <w:style w:customStyle="1" w:styleId="ControlFlowTok" w:type="character">
    <w:name w:val="ControlFlowTok"/>
    <w:basedOn w:val="VerbatimChar"/>
    <w:rPr>
      <w:rFonts w:ascii="Aptos" w:hAnsi="Aptos" w:cs="Aptos" w:eastAsia="Aptos"/>
      <w:color w:val="007020"/>
      <w:b/>
    </w:rPr>
  </w:style>
  <w:style w:customStyle="1" w:styleId="OperatorTok" w:type="character">
    <w:name w:val="OperatorTok"/>
    <w:basedOn w:val="VerbatimChar"/>
    <w:rPr>
      <w:rFonts w:ascii="Aptos" w:hAnsi="Aptos" w:cs="Aptos" w:eastAsia="Aptos"/>
      <w:color w:val="666666"/>
    </w:rPr>
  </w:style>
  <w:style w:customStyle="1" w:styleId="BuiltInTok" w:type="character">
    <w:name w:val="BuiltInTok"/>
    <w:basedOn w:val="VerbatimChar"/>
    <w:rPr>
      <w:rFonts w:ascii="Aptos" w:hAnsi="Aptos" w:cs="Aptos" w:eastAsia="Aptos"/>
      <w:color w:val="008000"/>
    </w:rPr>
  </w:style>
  <w:style w:customStyle="1" w:styleId="ExtensionTok" w:type="character">
    <w:name w:val="ExtensionTok"/>
    <w:basedOn w:val="VerbatimChar"/>
    <w:rPr>
      <w:rFonts w:ascii="Aptos" w:hAnsi="Aptos" w:cs="Aptos" w:eastAsia="Aptos"/>
    </w:rPr>
  </w:style>
  <w:style w:customStyle="1" w:styleId="PreprocessorTok" w:type="character">
    <w:name w:val="PreprocessorTok"/>
    <w:basedOn w:val="VerbatimChar"/>
    <w:rPr>
      <w:rFonts w:ascii="Aptos" w:hAnsi="Aptos" w:cs="Aptos" w:eastAsia="Aptos"/>
      <w:color w:val="bc7a00"/>
    </w:rPr>
  </w:style>
  <w:style w:customStyle="1" w:styleId="AttributeTok" w:type="character">
    <w:name w:val="AttributeTok"/>
    <w:basedOn w:val="VerbatimChar"/>
    <w:rPr>
      <w:rFonts w:ascii="Aptos" w:hAnsi="Aptos" w:cs="Aptos" w:eastAsia="Aptos"/>
      <w:color w:val="7d9029"/>
    </w:rPr>
  </w:style>
  <w:style w:customStyle="1" w:styleId="RegionMarkerTok" w:type="character">
    <w:name w:val="RegionMarkerTok"/>
    <w:basedOn w:val="VerbatimChar"/>
    <w:rPr>
      <w:rFonts w:ascii="Aptos" w:hAnsi="Aptos" w:cs="Aptos" w:eastAsia="Aptos"/>
    </w:rPr>
  </w:style>
  <w:style w:customStyle="1" w:styleId="InformationTok" w:type="character">
    <w:name w:val="InformationTok"/>
    <w:basedOn w:val="VerbatimChar"/>
    <w:rPr>
      <w:rFonts w:ascii="Aptos" w:hAnsi="Aptos" w:cs="Aptos" w:eastAsia="Aptos"/>
      <w:color w:val="60a0b0"/>
      <w:b/>
      <w:i/>
    </w:rPr>
  </w:style>
  <w:style w:customStyle="1" w:styleId="WarningTok" w:type="character">
    <w:name w:val="WarningTok"/>
    <w:basedOn w:val="VerbatimChar"/>
    <w:rPr>
      <w:rFonts w:ascii="Aptos" w:hAnsi="Aptos" w:cs="Aptos" w:eastAsia="Aptos"/>
      <w:color w:val="60a0b0"/>
      <w:b/>
      <w:i/>
    </w:rPr>
  </w:style>
  <w:style w:customStyle="1" w:styleId="AlertTok" w:type="character">
    <w:name w:val="AlertTok"/>
    <w:basedOn w:val="VerbatimChar"/>
    <w:rPr>
      <w:rFonts w:ascii="Aptos" w:hAnsi="Aptos" w:cs="Aptos" w:eastAsia="Aptos"/>
      <w:color w:val="ff0000"/>
      <w:b/>
    </w:rPr>
  </w:style>
  <w:style w:customStyle="1" w:styleId="ErrorTok" w:type="character">
    <w:name w:val="ErrorTok"/>
    <w:basedOn w:val="VerbatimChar"/>
    <w:rPr>
      <w:rFonts w:ascii="Aptos" w:hAnsi="Aptos" w:cs="Aptos" w:eastAsia="Aptos"/>
      <w:color w:val="ff0000"/>
      <w:b/>
    </w:rPr>
  </w:style>
  <w:style w:customStyle="1" w:styleId="NormalTok" w:type="character">
    <w:name w:val="NormalTok"/>
    <w:basedOn w:val="VerbatimChar"/>
    <w:rPr>
      <w:rFonts w:ascii="Aptos" w:hAnsi="Aptos" w:cs="Aptos" w:eastAsia="Aptos"/>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FirstClick Digital Skills: Data Protection Policy</dc:title>
  <dc:creator/>
  <cp:keywords/>
  <dcterms:created xsi:type="dcterms:W3CDTF">2026-09-23T18:40:00Z</dcterms:created>
  <dcterms:modified xsi:type="dcterms:W3CDTF">2026-09-23T18:40:00Z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Liguanea Advisory Group Limited · Draft for review · Version 1.4 · 23 September 2026</vt:lpwstr>
  </property>
</Properties>
</file>